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9CDA" w14:textId="1411B2BD" w:rsidR="0007596B" w:rsidRPr="0007596B" w:rsidRDefault="0007596B">
      <w:pPr>
        <w:rPr>
          <w:lang w:val="mk-MK"/>
        </w:rPr>
      </w:pPr>
      <w:r>
        <w:rPr>
          <w:lang w:val="mk-MK"/>
        </w:rPr>
        <w:t>МОДЕЛ БАРАЊЕ ЗА МЕЃУНАРОДНА ПРАВНА ПОМОШ</w:t>
      </w:r>
      <w:r>
        <w:rPr>
          <w:rStyle w:val="FootnoteReference"/>
          <w:lang w:val="mk-MK"/>
        </w:rPr>
        <w:footnoteReference w:id="1"/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4"/>
        <w:gridCol w:w="14"/>
        <w:gridCol w:w="49"/>
      </w:tblGrid>
      <w:tr w:rsidR="0047122E" w14:paraId="66C1C6FB" w14:textId="77777777" w:rsidTr="0047122E">
        <w:trPr>
          <w:gridAfter w:val="2"/>
          <w:wAfter w:w="63" w:type="dxa"/>
          <w:trHeight w:val="588"/>
        </w:trPr>
        <w:tc>
          <w:tcPr>
            <w:tcW w:w="8664" w:type="dxa"/>
            <w:tcBorders>
              <w:top w:val="none" w:sz="6" w:space="0" w:color="auto"/>
              <w:bottom w:val="none" w:sz="6" w:space="0" w:color="auto"/>
            </w:tcBorders>
          </w:tcPr>
          <w:p w14:paraId="6A75EDEC" w14:textId="77777777" w:rsidR="0047122E" w:rsidRDefault="0047122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НАСЛОВ НА БАРАЊЕТО</w:t>
            </w:r>
          </w:p>
          <w:p w14:paraId="49355645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Постапка бр.…….</w:t>
            </w:r>
          </w:p>
          <w:p w14:paraId="1E3B5F3F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Индикација за итност/Доверливост</w:t>
            </w:r>
          </w:p>
        </w:tc>
      </w:tr>
      <w:tr w:rsidR="0047122E" w14:paraId="5CCA854A" w14:textId="77777777" w:rsidTr="0047122E">
        <w:trPr>
          <w:gridAfter w:val="2"/>
          <w:wAfter w:w="63" w:type="dxa"/>
          <w:trHeight w:val="708"/>
        </w:trPr>
        <w:tc>
          <w:tcPr>
            <w:tcW w:w="8664" w:type="dxa"/>
            <w:tcBorders>
              <w:top w:val="none" w:sz="6" w:space="0" w:color="auto"/>
              <w:bottom w:val="none" w:sz="6" w:space="0" w:color="auto"/>
            </w:tcBorders>
          </w:tcPr>
          <w:p w14:paraId="32FB75E2" w14:textId="77777777" w:rsidR="0047122E" w:rsidRDefault="0047122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 ОРГАН КОЈ БАРА</w:t>
            </w:r>
          </w:p>
          <w:p w14:paraId="73E62BC0" w14:textId="7275B624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Официјал</w:t>
            </w:r>
            <w:r w:rsidR="00C777FE">
              <w:rPr>
                <w:sz w:val="20"/>
                <w:szCs w:val="20"/>
                <w:lang w:val="mk-MK"/>
              </w:rPr>
              <w:t>е</w:t>
            </w:r>
            <w:r>
              <w:rPr>
                <w:sz w:val="20"/>
                <w:szCs w:val="20"/>
              </w:rPr>
              <w:t>н</w:t>
            </w:r>
            <w:r w:rsidR="00C777FE">
              <w:rPr>
                <w:sz w:val="20"/>
                <w:szCs w:val="20"/>
                <w:lang w:val="mk-MK"/>
              </w:rPr>
              <w:t xml:space="preserve"> назив</w:t>
            </w:r>
          </w:p>
          <w:p w14:paraId="60295DFB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Адреса</w:t>
            </w:r>
          </w:p>
          <w:p w14:paraId="2E07627E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Детали за контакт: телефонски и факс броеви, адреси на е-пошта</w:t>
            </w:r>
          </w:p>
          <w:p w14:paraId="6C5A3C5C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Јазик</w:t>
            </w:r>
          </w:p>
        </w:tc>
      </w:tr>
      <w:tr w:rsidR="0047122E" w14:paraId="3D15D7E5" w14:textId="77777777" w:rsidTr="0047122E">
        <w:trPr>
          <w:gridAfter w:val="2"/>
          <w:wAfter w:w="63" w:type="dxa"/>
          <w:trHeight w:val="468"/>
        </w:trPr>
        <w:tc>
          <w:tcPr>
            <w:tcW w:w="8664" w:type="dxa"/>
            <w:tcBorders>
              <w:top w:val="none" w:sz="6" w:space="0" w:color="auto"/>
              <w:bottom w:val="none" w:sz="6" w:space="0" w:color="auto"/>
            </w:tcBorders>
          </w:tcPr>
          <w:p w14:paraId="60684910" w14:textId="2FD06CC7" w:rsidR="0047122E" w:rsidRDefault="0047122E">
            <w:pPr>
              <w:pStyle w:val="Default"/>
            </w:pPr>
            <w:r>
              <w:t xml:space="preserve">2. </w:t>
            </w:r>
            <w:r w:rsidR="00C777FE">
              <w:rPr>
                <w:lang w:val="mk-MK"/>
              </w:rPr>
              <w:t>ОРГАН ОД КОЈ СЕ БАРА</w:t>
            </w:r>
          </w:p>
          <w:p w14:paraId="1BC7DB35" w14:textId="5D00DBA7" w:rsidR="0047122E" w:rsidRPr="00C777FE" w:rsidRDefault="0047122E">
            <w:pPr>
              <w:pStyle w:val="Default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- Официјална </w:t>
            </w:r>
            <w:r w:rsidR="00C777FE">
              <w:rPr>
                <w:sz w:val="20"/>
                <w:szCs w:val="20"/>
                <w:lang w:val="mk-MK"/>
              </w:rPr>
              <w:t>назив</w:t>
            </w:r>
          </w:p>
          <w:p w14:paraId="5D314569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Адреса</w:t>
            </w:r>
          </w:p>
          <w:p w14:paraId="4640C016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</w:p>
        </w:tc>
      </w:tr>
      <w:tr w:rsidR="0047122E" w14:paraId="7DCB5D40" w14:textId="77777777" w:rsidTr="0047122E">
        <w:trPr>
          <w:gridAfter w:val="2"/>
          <w:wAfter w:w="63" w:type="dxa"/>
          <w:trHeight w:val="1668"/>
        </w:trPr>
        <w:tc>
          <w:tcPr>
            <w:tcW w:w="8664" w:type="dxa"/>
            <w:tcBorders>
              <w:top w:val="none" w:sz="6" w:space="0" w:color="auto"/>
              <w:bottom w:val="none" w:sz="6" w:space="0" w:color="auto"/>
            </w:tcBorders>
          </w:tcPr>
          <w:p w14:paraId="0A08461C" w14:textId="77777777" w:rsidR="0047122E" w:rsidRDefault="0047122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 ПРЕДМЕТ И ПРИЧИНА</w:t>
            </w:r>
          </w:p>
          <w:p w14:paraId="7A765272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Вид и цел на барање</w:t>
            </w:r>
          </w:p>
          <w:p w14:paraId="2845DB0C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Правна основа на барањето</w:t>
            </w:r>
          </w:p>
          <w:p w14:paraId="1AF12A1D" w14:textId="7D6AFC05" w:rsidR="0047122E" w:rsidRPr="00C777FE" w:rsidRDefault="0047122E">
            <w:pPr>
              <w:pStyle w:val="Default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- Вид на </w:t>
            </w:r>
            <w:r w:rsidR="00C777FE">
              <w:rPr>
                <w:sz w:val="20"/>
                <w:szCs w:val="20"/>
                <w:lang w:val="mk-MK"/>
              </w:rPr>
              <w:t>кривично дело</w:t>
            </w:r>
          </w:p>
          <w:p w14:paraId="30E94A57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Опис на фазата на кривичната постапка</w:t>
            </w:r>
          </w:p>
          <w:p w14:paraId="00D5C11A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применливо:</w:t>
            </w:r>
          </w:p>
          <w:p w14:paraId="235DBF97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Оправдување на итноста</w:t>
            </w:r>
          </w:p>
          <w:p w14:paraId="5E8BBFB9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барање да се биде известен за датумот/местото на извршување на барањето како и за присуството на одредени лица со нивните податоци за контакт</w:t>
            </w:r>
          </w:p>
          <w:p w14:paraId="32470692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Индикација за претходна вклученост на службениците за спроведување на законот и нивните податоци за контакт</w:t>
            </w:r>
          </w:p>
          <w:p w14:paraId="69D3CF7A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 за претходни комуникации/ барања за МПП (вклучувајќи референтни броеви)</w:t>
            </w:r>
          </w:p>
        </w:tc>
      </w:tr>
      <w:tr w:rsidR="0047122E" w14:paraId="1A570531" w14:textId="77777777" w:rsidTr="0047122E">
        <w:trPr>
          <w:gridAfter w:val="2"/>
          <w:wAfter w:w="63" w:type="dxa"/>
          <w:trHeight w:val="2508"/>
        </w:trPr>
        <w:tc>
          <w:tcPr>
            <w:tcW w:w="8664" w:type="dxa"/>
            <w:tcBorders>
              <w:top w:val="none" w:sz="6" w:space="0" w:color="auto"/>
              <w:bottom w:val="none" w:sz="6" w:space="0" w:color="auto"/>
            </w:tcBorders>
          </w:tcPr>
          <w:p w14:paraId="7DC54999" w14:textId="35991359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4. ЛИЦА </w:t>
            </w:r>
            <w:r w:rsidR="00C777FE">
              <w:rPr>
                <w:b/>
                <w:bCs/>
                <w:sz w:val="23"/>
                <w:szCs w:val="23"/>
                <w:lang w:val="mk-MK"/>
              </w:rPr>
              <w:t xml:space="preserve">НА КОИ СЕ ОДНЕСУВА БАРАЊЕТО </w:t>
            </w:r>
            <w:r>
              <w:rPr>
                <w:b/>
                <w:bCs/>
                <w:sz w:val="20"/>
                <w:szCs w:val="20"/>
              </w:rPr>
              <w:t>(првенствено осомничени)</w:t>
            </w:r>
          </w:p>
          <w:p w14:paraId="14A55B69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</w:t>
            </w:r>
          </w:p>
          <w:p w14:paraId="26B0831E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</w:t>
            </w:r>
          </w:p>
          <w:p w14:paraId="5CA2E3AC" w14:textId="1CC204A6" w:rsidR="0047122E" w:rsidRPr="00C777FE" w:rsidRDefault="0047122E">
            <w:pPr>
              <w:pStyle w:val="Default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-</w:t>
            </w:r>
            <w:r w:rsidR="00C777FE">
              <w:rPr>
                <w:sz w:val="20"/>
                <w:szCs w:val="20"/>
                <w:lang w:val="mk-MK"/>
              </w:rPr>
              <w:t xml:space="preserve"> Државјанство</w:t>
            </w:r>
          </w:p>
          <w:p w14:paraId="70052C27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Адреса</w:t>
            </w:r>
          </w:p>
          <w:p w14:paraId="117BB8E0" w14:textId="66EB5436" w:rsidR="0047122E" w:rsidRPr="00C777FE" w:rsidRDefault="0047122E">
            <w:pPr>
              <w:pStyle w:val="Default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777FE">
              <w:rPr>
                <w:sz w:val="20"/>
                <w:szCs w:val="20"/>
                <w:lang w:val="mk-MK"/>
              </w:rPr>
              <w:t>Улога</w:t>
            </w:r>
            <w:r>
              <w:rPr>
                <w:sz w:val="20"/>
                <w:szCs w:val="20"/>
              </w:rPr>
              <w:t xml:space="preserve"> во</w:t>
            </w:r>
            <w:r w:rsidR="00C777FE">
              <w:rPr>
                <w:sz w:val="20"/>
                <w:szCs w:val="20"/>
                <w:lang w:val="mk-MK"/>
              </w:rPr>
              <w:t xml:space="preserve"> </w:t>
            </w:r>
            <w:r>
              <w:rPr>
                <w:sz w:val="20"/>
                <w:szCs w:val="20"/>
              </w:rPr>
              <w:t>постапка</w:t>
            </w:r>
            <w:r w:rsidR="00C777FE">
              <w:rPr>
                <w:sz w:val="20"/>
                <w:szCs w:val="20"/>
                <w:lang w:val="mk-MK"/>
              </w:rPr>
              <w:t>та (обвинет, осуден, осомничен, сведок...)</w:t>
            </w:r>
          </w:p>
          <w:p w14:paraId="527021A5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</w:p>
          <w:p w14:paraId="32C7A097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Каде што е применливо и достапно: </w:t>
            </w:r>
          </w:p>
          <w:p w14:paraId="2F689F0B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Број на лична карта / пасош</w:t>
            </w:r>
          </w:p>
          <w:p w14:paraId="5BAA28D5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Алијас</w:t>
            </w:r>
          </w:p>
          <w:p w14:paraId="29ED6A4B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Датум / место на раѓање</w:t>
            </w:r>
          </w:p>
          <w:p w14:paraId="14137CD7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</w:p>
          <w:p w14:paraId="4AA9036B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Информации за правно лице</w:t>
            </w:r>
          </w:p>
          <w:p w14:paraId="63E84C96" w14:textId="52299604" w:rsidR="0047122E" w:rsidRPr="00C777FE" w:rsidRDefault="00C777FE" w:rsidP="00C777FE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7FE">
              <w:rPr>
                <w:sz w:val="20"/>
                <w:szCs w:val="20"/>
                <w:lang w:val="mk-MK"/>
              </w:rPr>
              <w:t>Назив</w:t>
            </w:r>
          </w:p>
          <w:p w14:paraId="61CEF98C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Каде што е применливо и достапно</w:t>
            </w:r>
          </w:p>
          <w:p w14:paraId="5C484EA4" w14:textId="10F85ED3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Регистарски број </w:t>
            </w:r>
            <w:r w:rsidR="00C777FE">
              <w:rPr>
                <w:sz w:val="20"/>
                <w:szCs w:val="20"/>
                <w:lang w:val="mk-MK"/>
              </w:rPr>
              <w:t>а</w:t>
            </w:r>
            <w:r>
              <w:rPr>
                <w:sz w:val="20"/>
                <w:szCs w:val="20"/>
              </w:rPr>
              <w:t>дреса на седиштето</w:t>
            </w:r>
          </w:p>
          <w:p w14:paraId="5CFDE12A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Адреси на различни гранки</w:t>
            </w:r>
          </w:p>
          <w:p w14:paraId="12B3DE34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Контакт податоци на лицето овластено да дејствува во име на компанијата</w:t>
            </w:r>
          </w:p>
          <w:p w14:paraId="1960317B" w14:textId="77777777" w:rsidR="0047122E" w:rsidRDefault="0047122E">
            <w:pPr>
              <w:pStyle w:val="Default"/>
              <w:rPr>
                <w:sz w:val="20"/>
                <w:szCs w:val="20"/>
              </w:rPr>
            </w:pPr>
          </w:p>
        </w:tc>
      </w:tr>
      <w:tr w:rsidR="0047122E" w14:paraId="7EF79E05" w14:textId="77777777" w:rsidTr="0047122E">
        <w:trPr>
          <w:gridAfter w:val="1"/>
          <w:wAfter w:w="49" w:type="dxa"/>
          <w:trHeight w:val="6829"/>
        </w:trPr>
        <w:tc>
          <w:tcPr>
            <w:tcW w:w="867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284E645" w14:textId="77777777" w:rsidR="0047122E" w:rsidRDefault="0047122E" w:rsidP="00783D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5. БАРАНИ МЕРКИ</w:t>
            </w:r>
          </w:p>
          <w:p w14:paraId="4F82CF50" w14:textId="6B41E1F1" w:rsidR="0047122E" w:rsidRPr="00B7429C" w:rsidRDefault="0047122E" w:rsidP="00783DE4">
            <w:pPr>
              <w:pStyle w:val="Default"/>
              <w:jc w:val="both"/>
              <w:rPr>
                <w:sz w:val="23"/>
                <w:szCs w:val="23"/>
                <w:lang w:val="mk-MK"/>
              </w:rPr>
            </w:pPr>
            <w:r>
              <w:rPr>
                <w:b/>
                <w:bCs/>
                <w:sz w:val="23"/>
                <w:szCs w:val="23"/>
              </w:rPr>
              <w:t xml:space="preserve">А. </w:t>
            </w:r>
            <w:r w:rsidR="00B7429C">
              <w:rPr>
                <w:b/>
                <w:bCs/>
                <w:sz w:val="23"/>
                <w:szCs w:val="23"/>
                <w:lang w:val="mk-MK"/>
              </w:rPr>
              <w:t xml:space="preserve">Замолници </w:t>
            </w:r>
          </w:p>
          <w:p w14:paraId="68581FA1" w14:textId="1044D2DB" w:rsidR="0047122E" w:rsidRPr="00B7429C" w:rsidRDefault="00B7429C" w:rsidP="00783DE4">
            <w:pPr>
              <w:pStyle w:val="Default"/>
              <w:jc w:val="both"/>
              <w:rPr>
                <w:sz w:val="23"/>
                <w:szCs w:val="23"/>
                <w:lang w:val="mk-MK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  <w:lang w:val="en-US"/>
              </w:rPr>
              <w:t>i</w:t>
            </w:r>
            <w:r w:rsidR="0047122E">
              <w:rPr>
                <w:b/>
                <w:bCs/>
                <w:i/>
                <w:iCs/>
                <w:sz w:val="23"/>
                <w:szCs w:val="23"/>
              </w:rPr>
              <w:t xml:space="preserve"> .</w:t>
            </w:r>
            <w:proofErr w:type="gramEnd"/>
            <w:r w:rsidR="0047122E">
              <w:rPr>
                <w:b/>
                <w:bCs/>
                <w:i/>
                <w:iCs/>
                <w:sz w:val="23"/>
                <w:szCs w:val="23"/>
              </w:rPr>
              <w:t xml:space="preserve"> Факти и правни информации за </w:t>
            </w:r>
            <w:r>
              <w:rPr>
                <w:b/>
                <w:bCs/>
                <w:i/>
                <w:iCs/>
                <w:sz w:val="23"/>
                <w:szCs w:val="23"/>
                <w:lang w:val="mk-MK"/>
              </w:rPr>
              <w:t>кривичното дело</w:t>
            </w:r>
          </w:p>
          <w:p w14:paraId="17C24F17" w14:textId="4F187386" w:rsidR="0047122E" w:rsidRPr="00B7429C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- Резиме на релевантните факти што укажуваат на време, место и начин на извршување на</w:t>
            </w:r>
            <w:r w:rsidR="00B7429C">
              <w:rPr>
                <w:sz w:val="20"/>
                <w:szCs w:val="20"/>
                <w:lang w:val="mk-MK"/>
              </w:rPr>
              <w:t xml:space="preserve"> кривичното дело</w:t>
            </w:r>
          </w:p>
          <w:p w14:paraId="1460D28A" w14:textId="739BAD23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Правна квалификација на </w:t>
            </w:r>
            <w:r w:rsidR="00783DE4">
              <w:rPr>
                <w:sz w:val="20"/>
                <w:szCs w:val="20"/>
                <w:lang w:val="mk-MK"/>
              </w:rPr>
              <w:t>кривичното дело</w:t>
            </w:r>
            <w:r>
              <w:rPr>
                <w:sz w:val="20"/>
                <w:szCs w:val="20"/>
              </w:rPr>
              <w:t xml:space="preserve"> со релевантни одредби вклучувајќи го опсегот на применливите казни</w:t>
            </w:r>
          </w:p>
          <w:p w14:paraId="6179BFEA" w14:textId="56CFAD4F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Јасен опис на врск</w:t>
            </w:r>
            <w:r w:rsidR="00783DE4">
              <w:rPr>
                <w:sz w:val="20"/>
                <w:szCs w:val="20"/>
                <w:lang w:val="mk-MK"/>
              </w:rPr>
              <w:t>ата</w:t>
            </w:r>
            <w:r>
              <w:rPr>
                <w:sz w:val="20"/>
                <w:szCs w:val="20"/>
              </w:rPr>
              <w:t xml:space="preserve"> помеѓу делото и лицето и помеѓу делото и доказите /мерките/ криминалните средства што се бараат во замолената држава.'</w:t>
            </w:r>
          </w:p>
          <w:p w14:paraId="16C44E4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3FC8EBB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0AFC5C9A" w14:textId="2B888A3D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Штета предизвикана од </w:t>
            </w:r>
            <w:r w:rsidR="00783DE4">
              <w:rPr>
                <w:sz w:val="20"/>
                <w:szCs w:val="20"/>
                <w:lang w:val="mk-MK"/>
              </w:rPr>
              <w:t>кривичното дело</w:t>
            </w:r>
          </w:p>
          <w:p w14:paraId="0E792A0F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 за жртвите</w:t>
            </w:r>
          </w:p>
          <w:p w14:paraId="594F3812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Онаму каде што е потребно, одредби за истекот на времето</w:t>
            </w:r>
          </w:p>
          <w:p w14:paraId="4F26F456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Сите други дополнителни информации што може да му помогнат на замолениот орган во извршувањето на барањето</w:t>
            </w:r>
          </w:p>
          <w:p w14:paraId="2478735E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BEE94BF" w14:textId="77777777" w:rsidR="0047122E" w:rsidRDefault="0047122E" w:rsidP="00783D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ii. Видови мерки</w:t>
            </w:r>
          </w:p>
          <w:p w14:paraId="4ACD34AF" w14:textId="77777777" w:rsidR="0047122E" w:rsidRDefault="0047122E" w:rsidP="00783D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а. Сослушување/испрашување на сведоци, вештаци, осомничени, обвинети и други лица: специфични модалитети </w:t>
            </w:r>
          </w:p>
          <w:p w14:paraId="3D6AFA7C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а1. Сослушување/испрашување извршено од страна на замолениот орган </w:t>
            </w:r>
          </w:p>
          <w:p w14:paraId="4C1849E0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надлежниот орган кој треба да ја спроведе расправата</w:t>
            </w:r>
          </w:p>
          <w:p w14:paraId="5AD7069E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статусот на лицето што треба да биде сослушано</w:t>
            </w:r>
          </w:p>
          <w:p w14:paraId="0625B8F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Информациите за правата и обврските (на пример сослушување под заклетва/афирмација или право на помош од адвокат/преведувач) да се известат лицето што треба да биде сослушано</w:t>
            </w:r>
          </w:p>
          <w:p w14:paraId="7036705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прашања што треба да се постават</w:t>
            </w:r>
          </w:p>
          <w:p w14:paraId="7381914C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CB01801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1A95C0E6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дали лицето што треба да биде сослушано бара заштита (вклучувајќи детали за можни постоечки договори меѓу двете страни за ова прашање)</w:t>
            </w:r>
          </w:p>
          <w:p w14:paraId="7E15E58F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9148D0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а2. Сослушување/испрашување преку видео конференција</w:t>
            </w:r>
          </w:p>
          <w:p w14:paraId="1472CC3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Наведување на причините зошто не е пожелно или возможно лично да се присуствува</w:t>
            </w:r>
          </w:p>
          <w:p w14:paraId="131113D4" w14:textId="77A88A79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 на судскиот орган што го спроведува рочиштето/</w:t>
            </w:r>
            <w:r w:rsidR="00783DE4">
              <w:rPr>
                <w:sz w:val="20"/>
                <w:szCs w:val="20"/>
                <w:lang w:val="mk-MK"/>
              </w:rPr>
              <w:t>сослушувањето</w:t>
            </w:r>
          </w:p>
          <w:p w14:paraId="11326830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Детали за практични аранжмани (технички информации за расположливите средства, предлози за плаќање на трошоците, детали за контакт за лице за технички контакт итн.)</w:t>
            </w:r>
          </w:p>
          <w:p w14:paraId="55D3A771" w14:textId="3927454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Известување за правата и обврските на лицето што треба да биде сослушано</w:t>
            </w:r>
          </w:p>
          <w:p w14:paraId="33CB881F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Предложени датуми/време</w:t>
            </w:r>
          </w:p>
          <w:p w14:paraId="2231E096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E818D5E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7B1935CC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потребата од преведувач</w:t>
            </w:r>
          </w:p>
          <w:p w14:paraId="1131CD9F" w14:textId="6FE1E1F9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мерки за заштита на лицето што треба да биде сослушано</w:t>
            </w:r>
          </w:p>
          <w:p w14:paraId="3EA9FFA3" w14:textId="7418BC82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дали осомничениот или обвинетиот се согласува на сослушувањето</w:t>
            </w:r>
          </w:p>
          <w:p w14:paraId="1AC0F6DF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прашања што треба да се постават</w:t>
            </w:r>
          </w:p>
          <w:p w14:paraId="77CB76A4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393632B" w14:textId="005E412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а3. Сослушување преку телефонска конференција</w:t>
            </w:r>
          </w:p>
          <w:p w14:paraId="5850508C" w14:textId="53A3E372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Назначување на името на судскиот орган или лицата кои ќе го водат рочиштето/</w:t>
            </w:r>
            <w:r w:rsidR="00783DE4">
              <w:rPr>
                <w:sz w:val="20"/>
                <w:szCs w:val="20"/>
                <w:lang w:val="mk-MK"/>
              </w:rPr>
              <w:t>сослушувањето</w:t>
            </w:r>
          </w:p>
          <w:p w14:paraId="1C2EE23A" w14:textId="0443FD42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дека сведокот или вештакот е подготвен да учествува во сослушувањето од</w:t>
            </w:r>
          </w:p>
          <w:p w14:paraId="4DA99CF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7122E" w14:paraId="5BF8EC05" w14:textId="77777777" w:rsidTr="0047122E">
        <w:trPr>
          <w:trHeight w:val="6934"/>
        </w:trPr>
        <w:tc>
          <w:tcPr>
            <w:tcW w:w="8727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79D3F84A" w14:textId="77777777" w:rsidR="0047122E" w:rsidRDefault="0047122E" w:rsidP="00783DE4">
            <w:pPr>
              <w:pStyle w:val="Default"/>
              <w:jc w:val="both"/>
              <w:rPr>
                <w:color w:val="auto"/>
              </w:rPr>
            </w:pPr>
          </w:p>
          <w:p w14:paraId="53E92B30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телефонска конференција</w:t>
            </w:r>
          </w:p>
          <w:p w14:paraId="332AB77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8CD20B5" w14:textId="77777777" w:rsidR="0047122E" w:rsidRDefault="0047122E" w:rsidP="00783D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б. Добивање докази </w:t>
            </w:r>
          </w:p>
          <w:p w14:paraId="406C7660" w14:textId="77777777" w:rsidR="0047122E" w:rsidRDefault="0047122E" w:rsidP="00783D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б1. Општи мерки</w:t>
            </w:r>
          </w:p>
          <w:p w14:paraId="1C062AA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Идентификација на бараните предмети</w:t>
            </w:r>
          </w:p>
          <w:p w14:paraId="339FF49B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A77BC4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Пребарување и заплена</w:t>
            </w:r>
          </w:p>
          <w:p w14:paraId="7E7E745C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Вид на пребарување: телесни претреси/ претреси на куќи/ други простории</w:t>
            </w:r>
          </w:p>
          <w:p w14:paraId="5442F0B2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Колку што е можно, прецизна идентификација на лицето или просториите што треба да се претресат (локација, интерес за имот, банкарски сметки)</w:t>
            </w:r>
          </w:p>
          <w:p w14:paraId="2718BF7F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Идентификација на документи, записи, податоци и сл </w:t>
            </w:r>
          </w:p>
          <w:p w14:paraId="7B773503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739B80A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6C562C86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Наведете детали за врските помеѓу лицето, странската постапка и бараните мерки на пр. местото што треба да се претресе</w:t>
            </w:r>
          </w:p>
          <w:p w14:paraId="40F7092A" w14:textId="658A0FFC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-Копија од налогот/на</w:t>
            </w:r>
            <w:r w:rsidR="00783DE4">
              <w:rPr>
                <w:sz w:val="20"/>
                <w:szCs w:val="20"/>
                <w:lang w:val="mk-MK"/>
              </w:rPr>
              <w:t>редбата</w:t>
            </w:r>
            <w:r>
              <w:rPr>
                <w:sz w:val="20"/>
                <w:szCs w:val="20"/>
              </w:rPr>
              <w:t xml:space="preserve"> издаден од органите баратели</w:t>
            </w:r>
          </w:p>
          <w:p w14:paraId="60276D18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3910D94" w14:textId="77777777" w:rsidR="0047122E" w:rsidRDefault="0047122E" w:rsidP="00783D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б2. Специфични мерки:</w:t>
            </w:r>
          </w:p>
          <w:p w14:paraId="4EC2DB21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</w:t>
            </w:r>
            <w:r>
              <w:rPr>
                <w:b/>
                <w:bCs/>
                <w:sz w:val="20"/>
                <w:szCs w:val="20"/>
              </w:rPr>
              <w:t>б2. 1.Електронски податоци</w:t>
            </w:r>
          </w:p>
          <w:p w14:paraId="245D5E33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CF3A2DF" w14:textId="58B9165C" w:rsidR="0047122E" w:rsidRDefault="0047122E" w:rsidP="00783DE4">
            <w:pPr>
              <w:pStyle w:val="Default"/>
              <w:jc w:val="both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 xml:space="preserve"> </w:t>
            </w:r>
            <w:r w:rsidR="004F6EDC" w:rsidRPr="004F6EDC">
              <w:rPr>
                <w:sz w:val="20"/>
                <w:szCs w:val="20"/>
              </w:rPr>
              <w:t>Зачувување на податоците</w:t>
            </w:r>
            <w:r>
              <w:rPr>
                <w:rFonts w:ascii="Wingdings" w:hAnsi="Wingdings" w:cs="Wingdings"/>
                <w:sz w:val="20"/>
                <w:szCs w:val="20"/>
              </w:rPr>
              <w:t xml:space="preserve"> </w:t>
            </w:r>
          </w:p>
          <w:p w14:paraId="19BBFE69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Соодветни информации за да се идентификуваат релевантните податоци што треба да се зачуваат вклучувајќи ја и нивната локација (чувар на складираните компјутерски податоци, локација на компјутерскиот систем)</w:t>
            </w:r>
          </w:p>
          <w:p w14:paraId="5C1BBAD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Основа да се верува дека постојат ризици од загуба или модификација</w:t>
            </w:r>
          </w:p>
          <w:p w14:paraId="2EDC9D62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Укажување дека ќе следи барање за МПП, заради добивање на зачуваните податоци 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608E7E0F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586EDE6" w14:textId="77777777" w:rsidR="0047122E" w:rsidRDefault="0047122E" w:rsidP="00783DE4">
            <w:pPr>
              <w:pStyle w:val="Default"/>
              <w:jc w:val="both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 xml:space="preserve"> </w:t>
            </w:r>
            <w:r w:rsidRPr="004F6EDC">
              <w:rPr>
                <w:sz w:val="20"/>
                <w:szCs w:val="20"/>
              </w:rPr>
              <w:t>Пребарување или сличен пристап, одземање или слично обезбедување или откривање податоци</w:t>
            </w:r>
            <w:r>
              <w:rPr>
                <w:rFonts w:ascii="Wingdings" w:hAnsi="Wingdings" w:cs="Wingdings"/>
                <w:sz w:val="20"/>
                <w:szCs w:val="20"/>
              </w:rPr>
              <w:t xml:space="preserve"> </w:t>
            </w:r>
          </w:p>
          <w:p w14:paraId="34617256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Специфична цел</w:t>
            </w:r>
          </w:p>
          <w:p w14:paraId="196C28A8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Соодветни информации за да се идентификуваат бараните податоци што треба да се одземат, да се обезбедат или да се обелоденат, вклучително, доколку е познато, нивната физичка локација и контролорот на податоци (чувар на складираните компјутерски податоци ), технички податоци неопходни за извршување на таквото дејство</w:t>
            </w:r>
          </w:p>
          <w:p w14:paraId="65607F9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Во најголема можна мера, прецизна идентификација на лицето или просториите што треба да се претресат, притоа давајќи детали за врските помеѓу лицето, податоците и местото што треба да се пребарува</w:t>
            </w:r>
          </w:p>
          <w:p w14:paraId="420B6D11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Контакт точка</w:t>
            </w:r>
          </w:p>
          <w:p w14:paraId="4B63FB4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5AB549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28D90C7C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 за претходно барање за зачувување на податоците</w:t>
            </w:r>
          </w:p>
          <w:p w14:paraId="29C0AC8B" w14:textId="1824FCBD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 </w:t>
            </w:r>
            <w:r w:rsidR="00E93398">
              <w:rPr>
                <w:b/>
                <w:bCs/>
                <w:sz w:val="20"/>
                <w:szCs w:val="20"/>
                <w:lang w:val="mk-MK"/>
              </w:rPr>
              <w:t>б</w:t>
            </w:r>
            <w:r>
              <w:rPr>
                <w:b/>
                <w:bCs/>
                <w:sz w:val="20"/>
                <w:szCs w:val="20"/>
              </w:rPr>
              <w:t xml:space="preserve">2.2. Заплена и/или конфискација </w:t>
            </w:r>
          </w:p>
          <w:p w14:paraId="5FA80C83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CF4EA63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Причини да се верува дека средствата се наоѓаат во замолената држава</w:t>
            </w:r>
          </w:p>
          <w:p w14:paraId="61C68E94" w14:textId="24E4DF0A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процедурите што државата барател сака да ги следи</w:t>
            </w:r>
            <w:r w:rsidR="00783DE4">
              <w:rPr>
                <w:sz w:val="20"/>
                <w:szCs w:val="20"/>
                <w:lang w:val="mk-MK"/>
              </w:rPr>
              <w:t>. Б</w:t>
            </w:r>
            <w:r>
              <w:rPr>
                <w:sz w:val="20"/>
                <w:szCs w:val="20"/>
              </w:rPr>
              <w:t xml:space="preserve">араната мерка или кои било други слични мерки </w:t>
            </w:r>
            <w:r w:rsidR="00783DE4">
              <w:rPr>
                <w:sz w:val="20"/>
                <w:szCs w:val="20"/>
                <w:lang w:val="mk-MK"/>
              </w:rPr>
              <w:t xml:space="preserve">кои </w:t>
            </w:r>
            <w:r>
              <w:rPr>
                <w:sz w:val="20"/>
                <w:szCs w:val="20"/>
              </w:rPr>
              <w:t xml:space="preserve">може да се преземат на територијата на </w:t>
            </w:r>
            <w:r w:rsidR="00783DE4">
              <w:rPr>
                <w:sz w:val="20"/>
                <w:szCs w:val="20"/>
                <w:lang w:val="mk-MK"/>
              </w:rPr>
              <w:t xml:space="preserve">замолената </w:t>
            </w:r>
            <w:r>
              <w:rPr>
                <w:sz w:val="20"/>
                <w:szCs w:val="20"/>
              </w:rPr>
              <w:t>државата според нејзиното национално законодавство</w:t>
            </w:r>
          </w:p>
          <w:p w14:paraId="1958A433" w14:textId="2ECF27DE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Прилози: </w:t>
            </w:r>
            <w:r w:rsidR="00783DE4">
              <w:rPr>
                <w:sz w:val="20"/>
                <w:szCs w:val="20"/>
                <w:lang w:val="mk-MK"/>
              </w:rPr>
              <w:t>заверена</w:t>
            </w:r>
            <w:r>
              <w:rPr>
                <w:sz w:val="20"/>
                <w:szCs w:val="20"/>
              </w:rPr>
              <w:t xml:space="preserve"> копија од налогот за заплена или/конфискација и изјава за основа</w:t>
            </w:r>
            <w:r w:rsidR="00783DE4">
              <w:rPr>
                <w:sz w:val="20"/>
                <w:szCs w:val="20"/>
                <w:lang w:val="mk-MK"/>
              </w:rPr>
              <w:t>носта</w:t>
            </w:r>
            <w:r>
              <w:rPr>
                <w:sz w:val="20"/>
                <w:szCs w:val="20"/>
              </w:rPr>
              <w:t xml:space="preserve"> на наредбата; и, каде што е применливо, потврда дека </w:t>
            </w:r>
            <w:r w:rsidR="00E93398">
              <w:rPr>
                <w:sz w:val="20"/>
                <w:szCs w:val="20"/>
                <w:lang w:val="mk-MK"/>
              </w:rPr>
              <w:t xml:space="preserve">пресудата за </w:t>
            </w:r>
            <w:r>
              <w:rPr>
                <w:sz w:val="20"/>
                <w:szCs w:val="20"/>
              </w:rPr>
              <w:t>конфискација е извршна</w:t>
            </w:r>
          </w:p>
          <w:p w14:paraId="78A00999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E9D20F4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 кои се однесуваат на банкарски сметки во замолената држава</w:t>
            </w:r>
          </w:p>
          <w:p w14:paraId="5D05F98B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49433F9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Кога конфискацијата е во форма на барање да се плати сума пари што одговара на вредноста на имотот, дајте информации за максималната вредност на имотот што треба да се заплени</w:t>
            </w:r>
          </w:p>
          <w:p w14:paraId="33EB1B29" w14:textId="2D241455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Прилог на документи со кои се докажува дека трети лица имале можност да </w:t>
            </w:r>
            <w:r w:rsidR="00783DE4">
              <w:rPr>
                <w:sz w:val="20"/>
                <w:szCs w:val="20"/>
                <w:lang w:val="mk-MK"/>
              </w:rPr>
              <w:t xml:space="preserve">ги </w:t>
            </w:r>
            <w:r>
              <w:rPr>
                <w:sz w:val="20"/>
                <w:szCs w:val="20"/>
              </w:rPr>
              <w:t>бараат</w:t>
            </w:r>
            <w:r w:rsidR="00783DE4">
              <w:rPr>
                <w:sz w:val="20"/>
                <w:szCs w:val="20"/>
                <w:lang w:val="mk-MK"/>
              </w:rPr>
              <w:t xml:space="preserve"> своите</w:t>
            </w:r>
            <w:r>
              <w:rPr>
                <w:sz w:val="20"/>
                <w:szCs w:val="20"/>
              </w:rPr>
              <w:t xml:space="preserve"> права</w:t>
            </w:r>
          </w:p>
          <w:p w14:paraId="5D7DBA2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 за слични барања испратени до други држави</w:t>
            </w:r>
          </w:p>
          <w:p w14:paraId="0D16D2BC" w14:textId="77777777" w:rsidR="0047122E" w:rsidRDefault="0047122E" w:rsidP="00783DE4">
            <w:pPr>
              <w:pStyle w:val="Default"/>
              <w:jc w:val="both"/>
              <w:rPr>
                <w:color w:val="auto"/>
              </w:rPr>
            </w:pPr>
          </w:p>
          <w:p w14:paraId="3F9F371C" w14:textId="328B9FF5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 за претходни барања за прибавување докази / за за</w:t>
            </w:r>
            <w:r w:rsidR="00783DE4">
              <w:rPr>
                <w:sz w:val="20"/>
                <w:szCs w:val="20"/>
                <w:lang w:val="mk-MK"/>
              </w:rPr>
              <w:t>мрзнување</w:t>
            </w:r>
            <w:r>
              <w:rPr>
                <w:sz w:val="20"/>
                <w:szCs w:val="20"/>
              </w:rPr>
              <w:t xml:space="preserve"> на имот или одземање на предмети поврзани со ова барање (име на обвинетиот / осуденото лице)</w:t>
            </w:r>
          </w:p>
          <w:p w14:paraId="5A120B9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Реституција: укажување на предмети/артикли добиени со криминални средства кои треба да и бидат на располагање на државата барател да се вратат на нивните вистински сопственици</w:t>
            </w:r>
          </w:p>
          <w:p w14:paraId="015327E1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E2D808F" w14:textId="77777777" w:rsidR="0047122E" w:rsidRDefault="0047122E" w:rsidP="00783D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в. Добивање информации од финансиски институции </w:t>
            </w:r>
          </w:p>
          <w:p w14:paraId="62A9D30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Детали за финансиската институција (име на банката или финансиската институција, адреса на филијалата каде се чува сметката)</w:t>
            </w:r>
          </w:p>
          <w:p w14:paraId="28119A4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Број на сметка</w:t>
            </w:r>
          </w:p>
          <w:p w14:paraId="4658240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Наведување на периодот за кој се бара информацијата</w:t>
            </w:r>
          </w:p>
          <w:p w14:paraId="3E6B0E03" w14:textId="49F3FEBE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Причини да се верува дека сметката </w:t>
            </w:r>
            <w:r w:rsidR="00783DE4">
              <w:rPr>
                <w:sz w:val="20"/>
                <w:szCs w:val="20"/>
                <w:lang w:val="mk-MK"/>
              </w:rPr>
              <w:t>е</w:t>
            </w:r>
            <w:r>
              <w:rPr>
                <w:sz w:val="20"/>
                <w:szCs w:val="20"/>
              </w:rPr>
              <w:t xml:space="preserve"> во замолената држава</w:t>
            </w:r>
          </w:p>
          <w:p w14:paraId="2C057164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7DBDD2C" w14:textId="77777777" w:rsidR="0047122E" w:rsidRDefault="0047122E" w:rsidP="00783D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г. Добивање телефонски/IP податоци </w:t>
            </w:r>
          </w:p>
          <w:p w14:paraId="78C0C4A3" w14:textId="1BFBDB23" w:rsidR="0047122E" w:rsidRDefault="00E93398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mk-MK"/>
              </w:rPr>
              <w:t>г</w:t>
            </w:r>
            <w:r w:rsidR="0047122E">
              <w:rPr>
                <w:b/>
                <w:bCs/>
                <w:sz w:val="20"/>
                <w:szCs w:val="20"/>
              </w:rPr>
              <w:t xml:space="preserve">1. Информации за телефонски податоци </w:t>
            </w:r>
          </w:p>
          <w:p w14:paraId="16449163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Назначување на телефонскиот број</w:t>
            </w:r>
          </w:p>
          <w:p w14:paraId="5F8A334B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 за носителот на телефонскиот број</w:t>
            </w:r>
          </w:p>
          <w:p w14:paraId="53DEA42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Назначување на периодот за кој се бараат телефонските податоци</w:t>
            </w:r>
          </w:p>
          <w:p w14:paraId="1F4C5931" w14:textId="6BDE64D8" w:rsidR="0047122E" w:rsidRDefault="00E93398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mk-MK"/>
              </w:rPr>
              <w:t>г</w:t>
            </w:r>
            <w:r w:rsidR="0047122E">
              <w:rPr>
                <w:b/>
                <w:bCs/>
                <w:sz w:val="20"/>
                <w:szCs w:val="20"/>
              </w:rPr>
              <w:t xml:space="preserve">2. Информации за IP податоци </w:t>
            </w:r>
          </w:p>
          <w:p w14:paraId="4F066B4A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Назначување на IP адресата, која идентификација на корисникот се бара (кога е позната IP адресата), на временскиот печат (денот и времето на користење) и името на интернет провајдерот</w:t>
            </w:r>
          </w:p>
          <w:p w14:paraId="444EE274" w14:textId="3080AC1F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Назначување на името и адресата на осомничениот (кога тој/таа е познат, но IP адресата на конкретниот корисник не е позната) и, доколку е познато, датумот и времето на користење и името на интернет провајдерот</w:t>
            </w:r>
          </w:p>
          <w:p w14:paraId="21525D8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6FDBA2CA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проширени податоци за сообраќајот, информации за бараниот период, за кој е користена IP адресата</w:t>
            </w:r>
          </w:p>
          <w:p w14:paraId="580124E7" w14:textId="77777777" w:rsidR="0047122E" w:rsidRDefault="0047122E" w:rsidP="00783D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д. Спроведување на вештачење</w:t>
            </w:r>
          </w:p>
          <w:p w14:paraId="3EF1A622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 за бараното вештачење</w:t>
            </w:r>
          </w:p>
          <w:p w14:paraId="577F35A0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46391BB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Список на прашања на кои треба да одговори експертот</w:t>
            </w:r>
          </w:p>
          <w:p w14:paraId="17E8CDC4" w14:textId="77777777" w:rsidR="0047122E" w:rsidRDefault="0047122E" w:rsidP="00783D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ѓ. Следење на комуникациите</w:t>
            </w:r>
          </w:p>
          <w:p w14:paraId="592A97F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Сите релевантни информации за статусот на лицето и за врската помеѓу мерката и тековната истрага во врска со законските барања на државата барател</w:t>
            </w:r>
          </w:p>
          <w:p w14:paraId="5214CEAC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03498490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Информации за временската рамка </w:t>
            </w:r>
          </w:p>
          <w:p w14:paraId="366F4741" w14:textId="77777777" w:rsidR="0047122E" w:rsidRDefault="0047122E" w:rsidP="00783D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е. Специјални истражни техники</w:t>
            </w:r>
          </w:p>
          <w:p w14:paraId="660D5245" w14:textId="31AE3672" w:rsidR="0047122E" w:rsidRPr="00F4452B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- Прекугранични набљудувањ</w:t>
            </w:r>
            <w:r w:rsidR="00F4452B">
              <w:rPr>
                <w:sz w:val="20"/>
                <w:szCs w:val="20"/>
                <w:lang w:val="mk-MK"/>
              </w:rPr>
              <w:t>а</w:t>
            </w:r>
          </w:p>
          <w:p w14:paraId="281A00C0" w14:textId="31EACFB9" w:rsidR="0047122E" w:rsidRPr="00F4452B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- Контролирана испорака</w:t>
            </w:r>
          </w:p>
          <w:p w14:paraId="089B9DDF" w14:textId="757840FA" w:rsidR="0047122E" w:rsidRPr="00F4452B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- Тајни истраги</w:t>
            </w:r>
          </w:p>
          <w:p w14:paraId="55041880" w14:textId="4DD3564E" w:rsidR="0047122E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- Заеднички истражни тимови</w:t>
            </w:r>
          </w:p>
          <w:p w14:paraId="620BC1D9" w14:textId="10A6C6B7" w:rsidR="00F4452B" w:rsidRPr="00F4452B" w:rsidRDefault="00F4452B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За сите наведени под „е“ изработени се посебни теркови</w:t>
            </w:r>
          </w:p>
          <w:p w14:paraId="192CD1F3" w14:textId="3941E904" w:rsidR="0047122E" w:rsidRDefault="0047122E" w:rsidP="00783D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iii. Специфични </w:t>
            </w:r>
            <w:r w:rsidR="00E93398">
              <w:rPr>
                <w:b/>
                <w:bCs/>
                <w:i/>
                <w:iCs/>
                <w:sz w:val="23"/>
                <w:szCs w:val="23"/>
                <w:lang w:val="mk-MK"/>
              </w:rPr>
              <w:t>начини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на извршување</w:t>
            </w:r>
          </w:p>
          <w:p w14:paraId="677F1CE2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</w:t>
            </w:r>
          </w:p>
          <w:p w14:paraId="1284007E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Потребни формалности и процедури според законот на државата барател и упатствата</w:t>
            </w:r>
          </w:p>
          <w:p w14:paraId="6D1394F2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Присуство на службеници и други релевантни лица вклучени од државата барател и името и називот на таквите лица</w:t>
            </w:r>
          </w:p>
          <w:p w14:paraId="23460A71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Барање за спроведување на расправата/испрашувањето од службени лица….</w:t>
            </w:r>
          </w:p>
          <w:p w14:paraId="510B54B6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Временска рамка за извршување</w:t>
            </w:r>
          </w:p>
          <w:p w14:paraId="672F499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Координација помеѓу релевантните и надлежните органи (лица за контакт)</w:t>
            </w:r>
          </w:p>
          <w:p w14:paraId="14A8F650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Трошоци (види објаснување во упатствата)</w:t>
            </w:r>
          </w:p>
          <w:p w14:paraId="30FE0A4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Јазик што ќе се користи</w:t>
            </w:r>
          </w:p>
          <w:p w14:paraId="1CDCBD2E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барањата да се чува постоењето и суштината на барањето доверливи</w:t>
            </w:r>
          </w:p>
          <w:p w14:paraId="5B52457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Укажување на правила за обезбедување заштита на податоците</w:t>
            </w:r>
          </w:p>
          <w:p w14:paraId="7E3F78BC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407BF54" w14:textId="547097F1" w:rsidR="0047122E" w:rsidRDefault="0047122E" w:rsidP="00783D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iv. </w:t>
            </w:r>
            <w:r w:rsidR="00E93398">
              <w:rPr>
                <w:b/>
                <w:bCs/>
                <w:i/>
                <w:iCs/>
                <w:sz w:val="23"/>
                <w:szCs w:val="23"/>
                <w:lang w:val="mk-MK"/>
              </w:rPr>
              <w:t>Начини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за пренос на докази</w:t>
            </w:r>
          </w:p>
          <w:p w14:paraId="1843DD3F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Означување дали се потребни оригинали</w:t>
            </w:r>
          </w:p>
          <w:p w14:paraId="7E8B8AA8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Претпочитано средство за пренос што ќе го користи замолената држава (курир, офицер за врска, дипломатски претставник итн.)</w:t>
            </w:r>
          </w:p>
          <w:p w14:paraId="4A5347E4" w14:textId="24E58C63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83DE4">
              <w:rPr>
                <w:sz w:val="20"/>
                <w:szCs w:val="20"/>
                <w:lang w:val="mk-MK"/>
              </w:rPr>
              <w:t xml:space="preserve"> однапред доставување на</w:t>
            </w:r>
            <w:r>
              <w:rPr>
                <w:sz w:val="20"/>
                <w:szCs w:val="20"/>
              </w:rPr>
              <w:t xml:space="preserve"> копии</w:t>
            </w:r>
          </w:p>
          <w:p w14:paraId="77F9CF37" w14:textId="77777777" w:rsidR="0047122E" w:rsidRDefault="0047122E" w:rsidP="00783D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Б. Доставување на судски исправи </w:t>
            </w:r>
            <w:r>
              <w:rPr>
                <w:sz w:val="23"/>
                <w:szCs w:val="23"/>
              </w:rPr>
              <w:t>(писмена и евиденција; покана за јавување како сведок/вештак/обвинет):</w:t>
            </w:r>
          </w:p>
          <w:p w14:paraId="458F6592" w14:textId="77777777" w:rsidR="0047122E" w:rsidRDefault="0047122E" w:rsidP="00783DE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9385DCB" w14:textId="0373B973" w:rsidR="0047122E" w:rsidRDefault="00783DE4" w:rsidP="00783DE4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  <w:lang w:val="en-US"/>
              </w:rPr>
              <w:t>i</w:t>
            </w:r>
            <w:r w:rsidR="0047122E">
              <w:rPr>
                <w:sz w:val="23"/>
                <w:szCs w:val="23"/>
              </w:rPr>
              <w:t xml:space="preserve"> .</w:t>
            </w:r>
            <w:proofErr w:type="gramEnd"/>
            <w:r w:rsidR="0047122E">
              <w:rPr>
                <w:sz w:val="23"/>
                <w:szCs w:val="23"/>
              </w:rPr>
              <w:t xml:space="preserve"> Информации заеднички за сите барања</w:t>
            </w:r>
            <w:r w:rsidR="008127D7">
              <w:rPr>
                <w:sz w:val="23"/>
                <w:szCs w:val="23"/>
                <w:lang w:val="en-US"/>
              </w:rPr>
              <w:t xml:space="preserve"> </w:t>
            </w:r>
            <w:r w:rsidR="008127D7">
              <w:rPr>
                <w:sz w:val="23"/>
                <w:szCs w:val="23"/>
                <w:lang w:val="mk-MK"/>
              </w:rPr>
              <w:t>за врачување</w:t>
            </w:r>
          </w:p>
          <w:p w14:paraId="727300B8" w14:textId="56032F6F" w:rsidR="0047122E" w:rsidRPr="00E93398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3398">
              <w:rPr>
                <w:sz w:val="20"/>
                <w:szCs w:val="20"/>
                <w:lang w:val="mk-MK"/>
              </w:rPr>
              <w:t>какво врачување се бара</w:t>
            </w:r>
          </w:p>
          <w:p w14:paraId="40EF9A17" w14:textId="5E0ED78A" w:rsidR="0047122E" w:rsidRPr="00E93398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3398">
              <w:rPr>
                <w:sz w:val="20"/>
                <w:szCs w:val="20"/>
                <w:lang w:val="mk-MK"/>
              </w:rPr>
              <w:t>листа на списи кои се врачуваат</w:t>
            </w:r>
          </w:p>
          <w:p w14:paraId="42F738F3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1509EE4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применливо:</w:t>
            </w:r>
          </w:p>
          <w:p w14:paraId="2CEC57C9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Информации за заштита на сведоци</w:t>
            </w:r>
          </w:p>
          <w:p w14:paraId="01F09463" w14:textId="73CF6E23" w:rsidR="0047122E" w:rsidRPr="00735637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637">
              <w:rPr>
                <w:sz w:val="20"/>
                <w:szCs w:val="20"/>
                <w:lang w:val="mk-MK"/>
              </w:rPr>
              <w:t>Детали за безбеден премин/престој во државата</w:t>
            </w:r>
          </w:p>
          <w:p w14:paraId="05794FB1" w14:textId="6FF8CA86" w:rsidR="0047122E" w:rsidRPr="00735637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- Барања за потврда на </w:t>
            </w:r>
            <w:r w:rsidR="00735637">
              <w:rPr>
                <w:sz w:val="20"/>
                <w:szCs w:val="20"/>
                <w:lang w:val="mk-MK"/>
              </w:rPr>
              <w:t>врачувањето</w:t>
            </w:r>
          </w:p>
          <w:p w14:paraId="19F2F5D9" w14:textId="2AC0E0B5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Барања ако </w:t>
            </w:r>
            <w:r w:rsidR="00735637">
              <w:rPr>
                <w:sz w:val="20"/>
                <w:szCs w:val="20"/>
                <w:lang w:val="mk-MK"/>
              </w:rPr>
              <w:t>врачувањето</w:t>
            </w:r>
            <w:r>
              <w:rPr>
                <w:sz w:val="20"/>
                <w:szCs w:val="20"/>
              </w:rPr>
              <w:t xml:space="preserve"> не успее</w:t>
            </w:r>
          </w:p>
          <w:p w14:paraId="18CE4750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Одобрување на преземање на трошоци</w:t>
            </w:r>
          </w:p>
          <w:p w14:paraId="3C92893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CA6C734" w14:textId="0001B0CD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Потребни</w:t>
            </w:r>
            <w:r w:rsidR="00735637">
              <w:rPr>
                <w:sz w:val="20"/>
                <w:szCs w:val="20"/>
                <w:lang w:val="mk-MK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за </w:t>
            </w:r>
            <w:r w:rsidR="00E93398">
              <w:rPr>
                <w:sz w:val="20"/>
                <w:szCs w:val="20"/>
                <w:lang w:val="mk-MK"/>
              </w:rPr>
              <w:t>покани</w:t>
            </w:r>
            <w:r>
              <w:rPr>
                <w:sz w:val="20"/>
                <w:szCs w:val="20"/>
              </w:rPr>
              <w:t xml:space="preserve"> </w:t>
            </w:r>
          </w:p>
          <w:p w14:paraId="0534EB50" w14:textId="145F00BD" w:rsidR="0047122E" w:rsidRPr="00735637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- Датум</w:t>
            </w:r>
            <w:r w:rsidR="00735637">
              <w:rPr>
                <w:sz w:val="20"/>
                <w:szCs w:val="20"/>
                <w:lang w:val="mk-MK"/>
              </w:rPr>
              <w:t xml:space="preserve"> </w:t>
            </w:r>
          </w:p>
          <w:p w14:paraId="5A34123C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Време и место на сослушување</w:t>
            </w:r>
          </w:p>
          <w:p w14:paraId="1AAC6E27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40A864A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применливо:</w:t>
            </w:r>
          </w:p>
          <w:p w14:paraId="02CEA099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Алтернативен датум на појавување, време и место на сослушување</w:t>
            </w:r>
          </w:p>
          <w:p w14:paraId="4BF3CDA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Приближни надоместоци што се плаќаат и патни и дневни трошоци кои се враќаат</w:t>
            </w:r>
          </w:p>
          <w:p w14:paraId="6325186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125C94A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Виза или други услови за влез</w:t>
            </w:r>
          </w:p>
          <w:p w14:paraId="41A7D341" w14:textId="77777777" w:rsidR="0047122E" w:rsidRDefault="0047122E" w:rsidP="00783D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В. Привремено пренесување на лице во притвор</w:t>
            </w:r>
          </w:p>
          <w:p w14:paraId="5E60475E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Вид на пренос: до државата барател или замолената држава</w:t>
            </w:r>
          </w:p>
          <w:p w14:paraId="2E9ECA6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Предлог датуми за трансфер и враќање</w:t>
            </w:r>
          </w:p>
          <w:p w14:paraId="1CC872F1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Место на трансфер</w:t>
            </w:r>
          </w:p>
          <w:p w14:paraId="50EE5BFF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Цел на трансферот ( на пр. сведок, соочување)</w:t>
            </w:r>
          </w:p>
          <w:p w14:paraId="634C144F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Изјава за согласност на засегнатото лице</w:t>
            </w:r>
          </w:p>
          <w:p w14:paraId="78B41042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EE0B3F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применливо:</w:t>
            </w:r>
          </w:p>
          <w:p w14:paraId="7D647AC4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Потврда дека засегнатото лице ќе остане во притвор</w:t>
            </w:r>
          </w:p>
          <w:p w14:paraId="12C6BD52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Индикација дали е потребен транзит</w:t>
            </w:r>
          </w:p>
          <w:p w14:paraId="6D59C00A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Лице(и) за контакт одговорни за трансферот</w:t>
            </w:r>
          </w:p>
          <w:p w14:paraId="272923E4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05296CD" w14:textId="77777777" w:rsidR="0047122E" w:rsidRDefault="0047122E" w:rsidP="00783D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Г. Извадоци од судската евиденција</w:t>
            </w:r>
          </w:p>
          <w:p w14:paraId="2B70206C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Идентификација на лицето чие судско досие се бара</w:t>
            </w:r>
          </w:p>
          <w:p w14:paraId="0798A31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Каде што е применливо:</w:t>
            </w:r>
          </w:p>
          <w:p w14:paraId="2199AEB1" w14:textId="77777777" w:rsidR="0047122E" w:rsidRDefault="0047122E" w:rsidP="00783DE4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Укажување дали барањето е поднесено во некривичен контекст</w:t>
            </w:r>
          </w:p>
          <w:p w14:paraId="41AA8261" w14:textId="5422E30B" w:rsidR="0047122E" w:rsidRDefault="0047122E" w:rsidP="00783D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</w:t>
            </w:r>
            <w:r w:rsidR="00F4452B">
              <w:rPr>
                <w:b/>
                <w:bCs/>
                <w:sz w:val="23"/>
                <w:szCs w:val="23"/>
                <w:lang w:val="mk-MK"/>
              </w:rPr>
              <w:t>ДОПОЛНИТЕЛНИ</w:t>
            </w:r>
            <w:r>
              <w:rPr>
                <w:b/>
                <w:bCs/>
                <w:sz w:val="23"/>
                <w:szCs w:val="23"/>
              </w:rPr>
              <w:t xml:space="preserve"> ИНФОРМАЦИИ</w:t>
            </w:r>
          </w:p>
          <w:p w14:paraId="4558A04D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Било која друга информација која државата барател ја смета за важна</w:t>
            </w:r>
          </w:p>
          <w:p w14:paraId="740A7460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Лице за контакт (име, детали за контакт, јазик)</w:t>
            </w:r>
          </w:p>
          <w:p w14:paraId="501F6EE0" w14:textId="087C3AFC" w:rsidR="0047122E" w:rsidRPr="00F4452B" w:rsidRDefault="0047122E" w:rsidP="00783DE4">
            <w:pPr>
              <w:pStyle w:val="Default"/>
              <w:jc w:val="both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lastRenderedPageBreak/>
              <w:t xml:space="preserve">- Список на </w:t>
            </w:r>
            <w:r w:rsidR="00F4452B">
              <w:rPr>
                <w:sz w:val="20"/>
                <w:szCs w:val="20"/>
                <w:lang w:val="mk-MK"/>
              </w:rPr>
              <w:t>прилози</w:t>
            </w:r>
          </w:p>
          <w:p w14:paraId="60ED65B5" w14:textId="77777777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iCs/>
                <w:sz w:val="20"/>
                <w:szCs w:val="20"/>
              </w:rPr>
              <w:t>Печат, име, функција на службеникот, датум и потпис</w:t>
            </w:r>
          </w:p>
          <w:p w14:paraId="3B5C38B9" w14:textId="0FB03C8B" w:rsidR="0047122E" w:rsidRDefault="0047122E" w:rsidP="00783DE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144465C9" w14:textId="77777777" w:rsidR="005044CB" w:rsidRDefault="005044CB"/>
    <w:sectPr w:rsidR="0050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4771" w14:textId="77777777" w:rsidR="00163DEB" w:rsidRDefault="00163DEB" w:rsidP="0007596B">
      <w:pPr>
        <w:spacing w:after="0" w:line="240" w:lineRule="auto"/>
      </w:pPr>
      <w:r>
        <w:separator/>
      </w:r>
    </w:p>
  </w:endnote>
  <w:endnote w:type="continuationSeparator" w:id="0">
    <w:p w14:paraId="0534F9A3" w14:textId="77777777" w:rsidR="00163DEB" w:rsidRDefault="00163DEB" w:rsidP="0007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1C98" w14:textId="77777777" w:rsidR="00163DEB" w:rsidRDefault="00163DEB" w:rsidP="0007596B">
      <w:pPr>
        <w:spacing w:after="0" w:line="240" w:lineRule="auto"/>
      </w:pPr>
      <w:r>
        <w:separator/>
      </w:r>
    </w:p>
  </w:footnote>
  <w:footnote w:type="continuationSeparator" w:id="0">
    <w:p w14:paraId="05477B87" w14:textId="77777777" w:rsidR="00163DEB" w:rsidRDefault="00163DEB" w:rsidP="0007596B">
      <w:pPr>
        <w:spacing w:after="0" w:line="240" w:lineRule="auto"/>
      </w:pPr>
      <w:r>
        <w:continuationSeparator/>
      </w:r>
    </w:p>
  </w:footnote>
  <w:footnote w:id="1">
    <w:p w14:paraId="0602C33F" w14:textId="422E1FBF" w:rsidR="0007596B" w:rsidRPr="0007596B" w:rsidRDefault="0007596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Предложено од </w:t>
      </w:r>
      <w:r>
        <w:rPr>
          <w:lang w:val="en-US"/>
        </w:rPr>
        <w:t>PC-OC</w:t>
      </w:r>
      <w:r>
        <w:rPr>
          <w:lang w:val="mk-MK"/>
        </w:rPr>
        <w:t xml:space="preserve">, објавено од </w:t>
      </w:r>
      <w:r>
        <w:rPr>
          <w:lang w:val="en-US"/>
        </w:rPr>
        <w:t>CDPC</w:t>
      </w:r>
      <w:r>
        <w:rPr>
          <w:lang w:val="mk-MK"/>
        </w:rPr>
        <w:t>, преведено и адаптирано од Гордана Милевска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A97"/>
    <w:multiLevelType w:val="hybridMultilevel"/>
    <w:tmpl w:val="680C260C"/>
    <w:lvl w:ilvl="0" w:tplc="0CD4854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16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2E"/>
    <w:rsid w:val="00020647"/>
    <w:rsid w:val="0007596B"/>
    <w:rsid w:val="00163DEB"/>
    <w:rsid w:val="002260E4"/>
    <w:rsid w:val="0047122E"/>
    <w:rsid w:val="004F6EDC"/>
    <w:rsid w:val="005044CB"/>
    <w:rsid w:val="005F7215"/>
    <w:rsid w:val="00735637"/>
    <w:rsid w:val="00783DE4"/>
    <w:rsid w:val="008127D7"/>
    <w:rsid w:val="008930F5"/>
    <w:rsid w:val="009F4B17"/>
    <w:rsid w:val="00B7429C"/>
    <w:rsid w:val="00C777FE"/>
    <w:rsid w:val="00C87406"/>
    <w:rsid w:val="00E93398"/>
    <w:rsid w:val="00F4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734"/>
  <w15:chartTrackingRefBased/>
  <w15:docId w15:val="{266B16F8-1DA0-4031-99A1-00664718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1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5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59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5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F6A1-E292-44BB-857B-2B71B4FB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Гордана Милевска</dc:creator>
  <cp:keywords/>
  <dc:description/>
  <cp:lastModifiedBy>Gordana Milevska</cp:lastModifiedBy>
  <cp:revision>2</cp:revision>
  <dcterms:created xsi:type="dcterms:W3CDTF">2026-04-29T05:47:00Z</dcterms:created>
  <dcterms:modified xsi:type="dcterms:W3CDTF">2026-04-29T05:47:00Z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2025-04-06T07:19:58Z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fb330c12-ee13-4d3e-a771-88432324d514</vt:lpwstr>
  </property>
  <property fmtid="{D5CDD505-2E9C-101B-9397-08002B2CF9AE}" pid="8" name="MSIP_Label_28c922a5-a1f4-4aeb-ba12-30580b2dc78a_ContentBits">
    <vt:lpwstr>0</vt:lpwstr>
  </property>
  <property fmtid="{D5CDD505-2E9C-101B-9397-08002B2CF9AE}" pid="9" name="MSIP_Label_28c922a5-a1f4-4aeb-ba12-30580b2dc78a_Tag">
    <vt:lpwstr>10, 3, 0, 1</vt:lpwstr>
  </property>
</Properties>
</file>